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BE" w:rsidRDefault="00097EBE" w:rsidP="00097EB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As you may know, the Appeal Chamber (AC) is the only judicial body (the second instance of the Vetting process) that reviews the appeals filed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the Public Commissioner (IKP -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www.ikp.al</w:t>
        </w:r>
      </w:hyperlink>
      <w:r>
        <w:rPr>
          <w:rFonts w:ascii="Times New Roman" w:hAnsi="Times New Roman" w:cs="Times New Roman"/>
          <w:color w:val="1F497D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against the decisions of the Independent Qualification Commission (IQC, the first instance of the Vetting process –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www.kpk.al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7EBE" w:rsidRDefault="00097EBE" w:rsidP="00097EBE">
      <w:r>
        <w:rPr>
          <w:color w:val="1F497D"/>
        </w:rPr>
        <w:t> </w:t>
      </w:r>
    </w:p>
    <w:p w:rsidR="00097EBE" w:rsidRDefault="00097EBE" w:rsidP="00097EBE">
      <w:r>
        <w:rPr>
          <w:rFonts w:ascii="Times New Roman" w:hAnsi="Times New Roman" w:cs="Times New Roman"/>
          <w:sz w:val="24"/>
          <w:szCs w:val="24"/>
        </w:rPr>
        <w:t>As of 28.02.2021, the Appeal Chamber has registered 173 cases corresponding to the re-evaluation jurisdiction (JR), of which 95 have been concluded.</w:t>
      </w:r>
    </w:p>
    <w:p w:rsidR="00097EBE" w:rsidRDefault="00097EBE" w:rsidP="00097EBE">
      <w:r>
        <w:rPr>
          <w:rFonts w:ascii="Times New Roman" w:hAnsi="Times New Roman" w:cs="Times New Roman"/>
          <w:sz w:val="24"/>
          <w:szCs w:val="24"/>
        </w:rPr>
        <w:t>With regard to the 95 cases whose proceedings have been concluded, the Appeal Chamber has ruled on:</w:t>
      </w:r>
    </w:p>
    <w:p w:rsidR="00097EBE" w:rsidRDefault="00097EBE" w:rsidP="00097EBE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Upholding of the decision of the Independent Qualification Commission - </w:t>
      </w:r>
      <w:r>
        <w:rPr>
          <w:rFonts w:ascii="Times New Roman" w:hAnsi="Times New Roman" w:cs="Times New Roman"/>
          <w:b/>
          <w:bCs/>
          <w:sz w:val="24"/>
          <w:szCs w:val="24"/>
        </w:rPr>
        <w:t>in 69 decisions;</w:t>
      </w:r>
    </w:p>
    <w:p w:rsidR="00097EBE" w:rsidRDefault="00097EBE" w:rsidP="00097EBE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Amendment of the decision of the Independent Qualification Commission, regarding the content of the operative part of the decision on the prohibition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appointed judges or prosecutors of any level, member of the HJC (High Judicial Council) or HCP (High Council of Prosecution), High Inspector of Justice or Prosecutor General for a period of 15 years - </w:t>
      </w:r>
      <w:r>
        <w:rPr>
          <w:rFonts w:ascii="Times New Roman" w:hAnsi="Times New Roman" w:cs="Times New Roman"/>
          <w:b/>
          <w:bCs/>
          <w:sz w:val="24"/>
          <w:szCs w:val="24"/>
        </w:rPr>
        <w:t>in 3 decisions;</w:t>
      </w:r>
    </w:p>
    <w:p w:rsidR="00097EBE" w:rsidRDefault="00097EBE" w:rsidP="00097EBE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Amendment of the decision of the Independent Qualification Commission, by terminating the re-evaluation process and prohibiting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being appointed judges or prosecutors of any level, member of the HJC (High Judicial Council) or HCP (High Council of Prosecution), High Inspector of Justice or Prosecutor General for a period of 15 years - </w:t>
      </w:r>
      <w:r>
        <w:rPr>
          <w:rFonts w:ascii="Times New Roman" w:hAnsi="Times New Roman" w:cs="Times New Roman"/>
          <w:b/>
          <w:bCs/>
          <w:sz w:val="24"/>
          <w:szCs w:val="24"/>
        </w:rPr>
        <w:t>in 1 decision;</w:t>
      </w:r>
    </w:p>
    <w:p w:rsidR="00097EBE" w:rsidRDefault="00097EBE" w:rsidP="00097EBE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Amendment of the decision of the Independent Qualification Commission, ruling on the dismissal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office - </w:t>
      </w:r>
      <w:r>
        <w:rPr>
          <w:rFonts w:ascii="Times New Roman" w:hAnsi="Times New Roman" w:cs="Times New Roman"/>
          <w:b/>
          <w:bCs/>
          <w:sz w:val="24"/>
          <w:szCs w:val="24"/>
        </w:rPr>
        <w:t>in 14 decisions</w:t>
      </w:r>
    </w:p>
    <w:p w:rsidR="00097EBE" w:rsidRDefault="00097EBE" w:rsidP="00097EBE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Amendment of the decision of the Independent Qualification Commission, ruling on confirmation in office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- 3 decisions;</w:t>
      </w:r>
    </w:p>
    <w:p w:rsidR="00097EBE" w:rsidRDefault="00097EBE" w:rsidP="00097EBE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 Overrule of the decision of the Independent Qualification Commission and dismissal from office - </w:t>
      </w:r>
      <w:r>
        <w:rPr>
          <w:rFonts w:ascii="Times New Roman" w:hAnsi="Times New Roman" w:cs="Times New Roman"/>
          <w:b/>
          <w:bCs/>
          <w:sz w:val="24"/>
          <w:szCs w:val="24"/>
        </w:rPr>
        <w:t>in 1 decision</w:t>
      </w:r>
      <w:r>
        <w:rPr>
          <w:rFonts w:ascii="Times New Roman" w:hAnsi="Times New Roman" w:cs="Times New Roman"/>
          <w:sz w:val="24"/>
          <w:szCs w:val="24"/>
        </w:rPr>
        <w:t xml:space="preserve">; (overrule the decision of the Independent Qualification Commission, by terminating the re-evaluation process and prohibiting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being appointing judges or prosecutors of any level, member of the HJC (High Judicial Council) or HCP (High Council of Prosecution), High Inspector of Justice or Prosecutor General for a period of 15 years -</w:t>
      </w:r>
      <w:r>
        <w:rPr>
          <w:rFonts w:ascii="Times New Roman" w:hAnsi="Times New Roman" w:cs="Times New Roman"/>
          <w:b/>
          <w:bCs/>
          <w:sz w:val="24"/>
          <w:szCs w:val="24"/>
        </w:rPr>
        <w:t>1 decision;</w:t>
      </w:r>
    </w:p>
    <w:p w:rsidR="00097EBE" w:rsidRDefault="00097EBE" w:rsidP="00097EBE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Termination of the case review due to withdrawal of the appeal by the appellant - </w:t>
      </w:r>
      <w:r>
        <w:rPr>
          <w:rFonts w:ascii="Times New Roman" w:hAnsi="Times New Roman" w:cs="Times New Roman"/>
          <w:b/>
          <w:bCs/>
          <w:sz w:val="24"/>
          <w:szCs w:val="24"/>
        </w:rPr>
        <w:t>in 3 decisions</w:t>
      </w:r>
    </w:p>
    <w:p w:rsidR="00097EBE" w:rsidRDefault="00097EBE" w:rsidP="00097EBE">
      <w:r>
        <w:rPr>
          <w:rFonts w:ascii="Times New Roman" w:hAnsi="Times New Roman" w:cs="Times New Roman"/>
          <w:sz w:val="24"/>
          <w:szCs w:val="24"/>
        </w:rPr>
        <w:t> </w:t>
      </w:r>
    </w:p>
    <w:p w:rsidR="00097EBE" w:rsidRDefault="00097EBE" w:rsidP="00097EBE">
      <w:r>
        <w:rPr>
          <w:rFonts w:ascii="Times New Roman" w:hAnsi="Times New Roman" w:cs="Times New Roman"/>
          <w:sz w:val="24"/>
          <w:szCs w:val="24"/>
        </w:rPr>
        <w:t xml:space="preserve">For more information with regard to the decision making, public hearings, </w:t>
      </w:r>
      <w:proofErr w:type="gramStart"/>
      <w:r>
        <w:rPr>
          <w:rFonts w:ascii="Times New Roman" w:hAnsi="Times New Roman" w:cs="Times New Roman"/>
          <w:sz w:val="24"/>
          <w:szCs w:val="24"/>
        </w:rPr>
        <w:t>cases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 review with the Appeal Chamber etc., you may refer to the official website of the Appeal Chamber at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www.kpa.al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97EBE" w:rsidRDefault="00097EBE" w:rsidP="00097EBE">
      <w:r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097EBE" w:rsidRDefault="00097EBE" w:rsidP="00097EBE">
      <w:r>
        <w:rPr>
          <w:rFonts w:ascii="Times New Roman" w:hAnsi="Times New Roman" w:cs="Times New Roman"/>
          <w:sz w:val="24"/>
          <w:szCs w:val="24"/>
        </w:rPr>
        <w:t xml:space="preserve">As well, given that, not in every case there is lodged appeal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assessees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by the Public Commissioner against the decisions of the IQC, in order to obtain the comprehensive and thorough information you are requesting, we suggest you to visit: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https://kpk.al/statistika/</w:t>
        </w:r>
      </w:hyperlink>
      <w:r>
        <w:t>.</w:t>
      </w:r>
    </w:p>
    <w:p w:rsidR="00097EBE" w:rsidRDefault="00097EBE" w:rsidP="00097EBE">
      <w:r>
        <w:t> </w:t>
      </w:r>
    </w:p>
    <w:p w:rsidR="0074692E" w:rsidRDefault="0074692E">
      <w:bookmarkStart w:id="0" w:name="_GoBack"/>
      <w:bookmarkEnd w:id="0"/>
    </w:p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18C"/>
    <w:multiLevelType w:val="hybridMultilevel"/>
    <w:tmpl w:val="6FDAA170"/>
    <w:lvl w:ilvl="0" w:tplc="F440FC8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BE"/>
    <w:rsid w:val="00097EBE"/>
    <w:rsid w:val="007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29CEF-A962-4B92-AF4F-1BB212B8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k.al/statist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a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k.al" TargetMode="External"/><Relationship Id="rId5" Type="http://schemas.openxmlformats.org/officeDocument/2006/relationships/hyperlink" Target="http://www.ikp.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2021-04-13T11:42:00Z</dcterms:created>
  <dcterms:modified xsi:type="dcterms:W3CDTF">2021-04-13T11:43:00Z</dcterms:modified>
</cp:coreProperties>
</file>