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2F" w:rsidRPr="00C45D52" w:rsidRDefault="0039632F" w:rsidP="0039632F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26.09.2023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Ish – subjekte të rivlerësimit kanë vënë në lëvizje Kolegjin e Posaçëm të Apelimit, nëpërmjet depozitimit të kërkesave për rishikim vendimi, lidhur me të cilat mund të informoheni nëpërmjet faqes zyrtare të Kolegjit </w:t>
      </w:r>
      <w:hyperlink r:id="rId4" w:history="1">
        <w:r w:rsidRPr="00A313B3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  <w:bdr w:val="none" w:sz="0" w:space="0" w:color="auto" w:frame="1"/>
          </w:rPr>
          <w:t>www.kpa.al</w:t>
        </w:r>
      </w:hyperlink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, si vijon:    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 rubrikën “Çështjet” në linkun: </w:t>
      </w:r>
      <w:hyperlink r:id="rId5" w:tgtFrame="_blank" w:history="1">
        <w:r w:rsidRPr="00C45D52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bdr w:val="none" w:sz="0" w:space="0" w:color="auto" w:frame="1"/>
          </w:rPr>
          <w:t>https://kpa.al/juridiksion-rivleresimi-sipas-viteve/</w:t>
        </w:r>
      </w:hyperlink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 janë të klasifikuara sipas viteve të gjitha cështjet që i përkasin juridiksionit të rivlerësimit. Për 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 evidentuar kërkesat për rishikim vendimi, mjafton të hyni në vitin përkatës dhe nëpërmjet titullit do të dalloni çështjet për të cilat është kërkuar rishkim vendimi:  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Shtesa “rishikim vendimi” është shtuar në titull vetëm për çështjet, për të cilat është paraqitur në Kolegj një kërkesë e tillë P.sh., në linkun </w:t>
      </w:r>
      <w:hyperlink r:id="rId6" w:tgtFrame="_blank" w:history="1">
        <w:r w:rsidRPr="00C45D52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bdr w:val="none" w:sz="0" w:space="0" w:color="auto" w:frame="1"/>
          </w:rPr>
          <w:t>https://kpa.al/juridiksion-rivleresimi-2018/</w:t>
        </w:r>
      </w:hyperlink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, do të dalloni titullin: </w:t>
      </w:r>
      <w:r w:rsidRPr="00C45D5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bdr w:val="none" w:sz="0" w:space="0" w:color="auto" w:frame="1"/>
        </w:rPr>
        <w:t> </w:t>
      </w:r>
      <w:r w:rsidRPr="00C45D5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bdr w:val="none" w:sz="0" w:space="0" w:color="auto" w:frame="1"/>
        </w:rPr>
        <w:t>“Çështja (JR) nr. 40/2018, datë 18.12.2018 (Subjekti i rivlerësimit ***)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– </w:t>
      </w:r>
      <w:r w:rsidRPr="00C45D5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bdr w:val="none" w:sz="0" w:space="0" w:color="auto" w:frame="1"/>
        </w:rPr>
        <w:t>Kërkesë për rishikim vendimi”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e kështu me radhë, edhe për çështje të tjera të vitit 2018 e në vijim, për vitet pasuese.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 gjitha detajet lidhur me datën e regjistrimit të çështjes, kërkuesin, objektin, trupin gjykues, statusin e çështjes, mund t’i gjeni në këto rubrika, të cilat përditësohen në kohë reale sipas ecurisë së shqyrtimit të çështjes.  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 bëjmë me dije se lidhur me çështjet e mësipërme, në Kolegj është hedhur shorti dhe është caktuar trupi gjykues, që do të shqyrtojë respektivisht secilën prej tyre.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Sa i përket kërkesës për rishikim vendimi të znj. ***, mund t’i referoheni linkut në vijim, ku mund të informoheni rreth të dhënave të çështjes:  </w:t>
      </w:r>
    </w:p>
    <w:p w:rsidR="0039632F" w:rsidRPr="00C45D52" w:rsidRDefault="0039632F" w:rsidP="0039632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hyperlink r:id="rId7" w:tgtFrame="_blank" w:history="1">
        <w:r w:rsidRPr="00C45D52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bdr w:val="none" w:sz="0" w:space="0" w:color="auto" w:frame="1"/>
          </w:rPr>
          <w:t>https://kpa.al/juridiksion-rivleresimi-2018/</w:t>
        </w:r>
      </w:hyperlink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F24A7A" w:rsidRPr="0039632F" w:rsidRDefault="00F24A7A" w:rsidP="00FA6A72">
      <w:bookmarkStart w:id="0" w:name="_GoBack"/>
      <w:bookmarkEnd w:id="0"/>
    </w:p>
    <w:sectPr w:rsidR="00F24A7A" w:rsidRPr="0039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39632F"/>
    <w:rsid w:val="00396705"/>
    <w:rsid w:val="005468A4"/>
    <w:rsid w:val="008C7CA8"/>
    <w:rsid w:val="00A6430C"/>
    <w:rsid w:val="00AD7BF4"/>
    <w:rsid w:val="00AF18AC"/>
    <w:rsid w:val="00C2667E"/>
    <w:rsid w:val="00CE2835"/>
    <w:rsid w:val="00CF266B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pa.al/juridiksion-rivleresimi-20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juridiksion-rivleresimi-2018/" TargetMode="External"/><Relationship Id="rId5" Type="http://schemas.openxmlformats.org/officeDocument/2006/relationships/hyperlink" Target="https://kpa.al/juridiksion-rivleresimi-sipas-viteve/" TargetMode="External"/><Relationship Id="rId4" Type="http://schemas.openxmlformats.org/officeDocument/2006/relationships/hyperlink" Target="http://www.kpa.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2023-10-13T09:01:00Z</dcterms:created>
  <dcterms:modified xsi:type="dcterms:W3CDTF">2023-10-13T09:01:00Z</dcterms:modified>
</cp:coreProperties>
</file>