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9BBB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Përgjigje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DAD3E5C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kërkesës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suaj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bazuar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nenin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3, pika 2,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ligjit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119/2014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drejtën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informojmë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Posaçëm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Apelimit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zotëron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statistika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lidhur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ndarjen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llojin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t’u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njohur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informacionin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vizitoni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faqen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zyrtare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linqet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mëposhtme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 </w:t>
      </w:r>
    </w:p>
    <w:p w14:paraId="6A3E18B3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link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dhjetor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 </w:t>
      </w:r>
    </w:p>
    <w:p w14:paraId="6B467D97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14:ligatures w14:val="none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14:ligatures w14:val="none"/>
          </w:rPr>
          <w:t>https://kpa.al/wp-content/uploads/2024/02/Informacion-statistikor-dhjetor-2023-new.pdf</w:t>
        </w:r>
      </w:hyperlink>
    </w:p>
    <w:p w14:paraId="0A4CFFA5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F82519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linkun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mëposhtëm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gjitha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zbardhura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vieteve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 </w:t>
      </w:r>
    </w:p>
    <w:p w14:paraId="38B406DA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Style w:val="Hyperlink"/>
          <w:bdr w:val="none" w:sz="0" w:space="0" w:color="auto" w:frame="1"/>
        </w:rPr>
      </w:pPr>
      <w:hyperlink r:id="rId5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https://kpa.al/juridiksion-rivleresimi-vendime/</w:t>
        </w:r>
      </w:hyperlink>
    </w:p>
    <w:p w14:paraId="6D7799B5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eastAsia="Times New Roman"/>
          <w:color w:val="000000"/>
          <w:kern w:val="0"/>
          <w14:ligatures w14:val="none"/>
        </w:rPr>
      </w:pPr>
    </w:p>
    <w:p w14:paraId="20509DA8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Style w:val="Hyperlin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vendimet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marra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Kolegji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pazbardhuara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paarsyetuara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t’i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referoheni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kalendarit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faqen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ngjyrë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blu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publikuara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njoftimet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vendimeve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datave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shpallur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 </w:t>
      </w:r>
      <w:hyperlink r:id="rId6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https://kpa.al/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FBCF4E5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eastAsia="Times New Roman"/>
          <w:color w:val="000000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Nëpërmjet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njoftimeve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kalendar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informoheni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llojin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vendimmarrjes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psh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lënie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fuqi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ndryshim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vendimi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etj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periudhës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kohore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cilën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interesuar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0BDE3E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59BD54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link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regjistruara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dhjetor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 </w:t>
      </w:r>
    </w:p>
    <w:p w14:paraId="7EC0F9F5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14:ligatures w14:val="none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14:ligatures w14:val="none"/>
          </w:rPr>
          <w:t>https://kpa.al/wp-content/uploads/2024/02/Informacion-statistikor-dhjetor-2023-new.pdf</w:t>
        </w:r>
      </w:hyperlink>
    </w:p>
    <w:p w14:paraId="4C421FEB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CF5436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regjistruara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janari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2024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vazhdim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link:</w:t>
      </w:r>
    </w:p>
    <w:p w14:paraId="6FDE6D49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Style w:val="Hyperlink"/>
          <w:bdr w:val="none" w:sz="0" w:space="0" w:color="auto" w:frame="1"/>
        </w:rPr>
      </w:pPr>
      <w:hyperlink r:id="rId8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https://kpa.al/juridiksion-rivleresimi-sipas-viteve/</w:t>
        </w:r>
      </w:hyperlink>
    </w:p>
    <w:p w14:paraId="43138946" w14:textId="77777777" w:rsidR="00305C08" w:rsidRDefault="00305C08" w:rsidP="00305C08">
      <w:pPr>
        <w:shd w:val="clear" w:color="auto" w:fill="FFFFFF"/>
        <w:spacing w:line="257" w:lineRule="atLeast"/>
        <w:jc w:val="both"/>
        <w:textAlignment w:val="baseline"/>
        <w:rPr>
          <w:rFonts w:eastAsia="Times New Roman"/>
          <w:color w:val="000000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Nëpërmjet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këtij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linku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informoheni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rreth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dhënave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detajuara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gjitha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ankimuara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psh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subjektit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statusi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data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regjistrimit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etj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klasifikuara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99C0F0" w14:textId="77777777" w:rsidR="008C0843" w:rsidRPr="00305C08" w:rsidRDefault="008C0843" w:rsidP="00305C08"/>
    <w:sectPr w:rsidR="008C0843" w:rsidRPr="0030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8C0843"/>
    <w:rsid w:val="00A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juridiksion-rivleresimi-sipas-vite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a.al/wp-content/uploads/2024/02/Informacion-statistikor-dhjetor-2023-ne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" TargetMode="External"/><Relationship Id="rId5" Type="http://schemas.openxmlformats.org/officeDocument/2006/relationships/hyperlink" Target="https://kpa.al/juridiksion-rivleresimi-vendi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a.al/wp-content/uploads/2024/02/Informacion-statistikor-dhjetor-2023-new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2024-06-20T13:57:00Z</dcterms:created>
  <dcterms:modified xsi:type="dcterms:W3CDTF">2024-06-20T13:57:00Z</dcterms:modified>
</cp:coreProperties>
</file>