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CF01" w14:textId="77777777" w:rsidR="00E00F6A" w:rsidRPr="00F67024" w:rsidRDefault="00E00F6A" w:rsidP="00E00F6A">
      <w:pPr>
        <w:jc w:val="both"/>
        <w:rPr>
          <w:rFonts w:ascii="Times" w:hAnsi="Times" w:cs="Times"/>
          <w:b/>
          <w:bCs/>
        </w:rPr>
      </w:pPr>
      <w:r w:rsidRPr="00F67024">
        <w:rPr>
          <w:rFonts w:ascii="Times" w:hAnsi="Times" w:cs="Times"/>
          <w:b/>
          <w:bCs/>
        </w:rPr>
        <w:t xml:space="preserve">10.07.2025 </w:t>
      </w:r>
    </w:p>
    <w:p w14:paraId="2D004C70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In the context of preparing a journalistic material on the justice reform, </w:t>
      </w:r>
      <w:r>
        <w:rPr>
          <w:rFonts w:ascii="Times" w:hAnsi="Times" w:cs="Times"/>
        </w:rPr>
        <w:t>may you provide</w:t>
      </w:r>
      <w:r w:rsidRPr="00D05E94">
        <w:rPr>
          <w:rFonts w:ascii="Times" w:hAnsi="Times" w:cs="Times"/>
        </w:rPr>
        <w:t xml:space="preserve"> official and updated information on the activity of the Special Appeals Chamber from its establishment until June 2025, specifically</w:t>
      </w:r>
      <w:r>
        <w:rPr>
          <w:rFonts w:ascii="Times" w:hAnsi="Times" w:cs="Times"/>
        </w:rPr>
        <w:t xml:space="preserve"> on</w:t>
      </w:r>
      <w:r w:rsidRPr="00D05E94">
        <w:rPr>
          <w:rFonts w:ascii="Times" w:hAnsi="Times" w:cs="Times"/>
        </w:rPr>
        <w:t>:</w:t>
      </w:r>
    </w:p>
    <w:p w14:paraId="7F812CD7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The total number of cases reviewed by the </w:t>
      </w:r>
      <w:r>
        <w:rPr>
          <w:rFonts w:ascii="Times" w:hAnsi="Times" w:cs="Times"/>
        </w:rPr>
        <w:t>Appeals Chamber</w:t>
      </w:r>
      <w:r w:rsidRPr="00D05E94">
        <w:rPr>
          <w:rFonts w:ascii="Times" w:hAnsi="Times" w:cs="Times"/>
        </w:rPr>
        <w:t>, with a breakdown by the parties that have filed an appeal (the</w:t>
      </w:r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assessees</w:t>
      </w:r>
      <w:proofErr w:type="spellEnd"/>
      <w:r w:rsidRPr="00D05E94">
        <w:rPr>
          <w:rFonts w:ascii="Times" w:hAnsi="Times" w:cs="Times"/>
        </w:rPr>
        <w:t>, the Public Commissioner, or both parties).</w:t>
      </w:r>
    </w:p>
    <w:p w14:paraId="19A2313D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The number of final decisions </w:t>
      </w:r>
      <w:r>
        <w:rPr>
          <w:rFonts w:ascii="Times" w:hAnsi="Times" w:cs="Times"/>
        </w:rPr>
        <w:t>rendered</w:t>
      </w:r>
      <w:r w:rsidRPr="00D05E94">
        <w:rPr>
          <w:rFonts w:ascii="Times" w:hAnsi="Times" w:cs="Times"/>
        </w:rPr>
        <w:t xml:space="preserve"> by the </w:t>
      </w:r>
      <w:r>
        <w:rPr>
          <w:rFonts w:ascii="Times" w:hAnsi="Times" w:cs="Times"/>
        </w:rPr>
        <w:t>Appeals Chamber</w:t>
      </w:r>
      <w:r w:rsidRPr="00D05E94">
        <w:rPr>
          <w:rFonts w:ascii="Times" w:hAnsi="Times" w:cs="Times"/>
        </w:rPr>
        <w:t>, divided into categories such as:</w:t>
      </w:r>
    </w:p>
    <w:p w14:paraId="7E47B1D2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Upholding </w:t>
      </w:r>
      <w:r>
        <w:rPr>
          <w:rFonts w:ascii="Times" w:hAnsi="Times" w:cs="Times"/>
        </w:rPr>
        <w:t xml:space="preserve">of IQC’s </w:t>
      </w:r>
      <w:r w:rsidRPr="00D05E94">
        <w:rPr>
          <w:rFonts w:ascii="Times" w:hAnsi="Times" w:cs="Times"/>
        </w:rPr>
        <w:t>decisions</w:t>
      </w:r>
      <w:r>
        <w:rPr>
          <w:rFonts w:ascii="Times" w:hAnsi="Times" w:cs="Times"/>
        </w:rPr>
        <w:t>;</w:t>
      </w:r>
    </w:p>
    <w:p w14:paraId="1F7DBC21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Amend</w:t>
      </w:r>
      <w:r>
        <w:rPr>
          <w:rFonts w:ascii="Times" w:hAnsi="Times" w:cs="Times"/>
        </w:rPr>
        <w:t xml:space="preserve">ment of IQC’s </w:t>
      </w:r>
      <w:r w:rsidRPr="00D05E94">
        <w:rPr>
          <w:rFonts w:ascii="Times" w:hAnsi="Times" w:cs="Times"/>
        </w:rPr>
        <w:t>decisions (e.g., from dismissal</w:t>
      </w:r>
      <w:r>
        <w:rPr>
          <w:rFonts w:ascii="Times" w:hAnsi="Times" w:cs="Times"/>
        </w:rPr>
        <w:t xml:space="preserve"> from office </w:t>
      </w:r>
      <w:r w:rsidRPr="00D05E94">
        <w:rPr>
          <w:rFonts w:ascii="Times" w:hAnsi="Times" w:cs="Times"/>
        </w:rPr>
        <w:t xml:space="preserve">to confirmation </w:t>
      </w:r>
      <w:r>
        <w:rPr>
          <w:rFonts w:ascii="Times" w:hAnsi="Times" w:cs="Times"/>
        </w:rPr>
        <w:t xml:space="preserve">in office </w:t>
      </w:r>
      <w:r w:rsidRPr="00D05E94">
        <w:rPr>
          <w:rFonts w:ascii="Times" w:hAnsi="Times" w:cs="Times"/>
        </w:rPr>
        <w:t>or vice versa)</w:t>
      </w:r>
      <w:r>
        <w:rPr>
          <w:rFonts w:ascii="Times" w:hAnsi="Times" w:cs="Times"/>
        </w:rPr>
        <w:t>;</w:t>
      </w:r>
    </w:p>
    <w:p w14:paraId="35A6F4C3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Reopening of the administrative investigation and returning the case for re</w:t>
      </w:r>
      <w:r>
        <w:rPr>
          <w:rFonts w:ascii="Times" w:hAnsi="Times" w:cs="Times"/>
        </w:rPr>
        <w:t>view;</w:t>
      </w:r>
    </w:p>
    <w:p w14:paraId="6108AE36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Dismissal of the case</w:t>
      </w:r>
      <w:r>
        <w:rPr>
          <w:rFonts w:ascii="Times" w:hAnsi="Times" w:cs="Times"/>
        </w:rPr>
        <w:t>;</w:t>
      </w:r>
    </w:p>
    <w:p w14:paraId="25103180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>Other final decisions</w:t>
      </w:r>
      <w:r>
        <w:rPr>
          <w:rFonts w:ascii="Times" w:hAnsi="Times" w:cs="Times"/>
        </w:rPr>
        <w:t>;</w:t>
      </w:r>
    </w:p>
    <w:p w14:paraId="7947B3D8" w14:textId="77777777" w:rsidR="00E00F6A" w:rsidRPr="00D05E94" w:rsidRDefault="00E00F6A" w:rsidP="00E00F6A">
      <w:pPr>
        <w:jc w:val="both"/>
        <w:rPr>
          <w:rFonts w:ascii="Times" w:hAnsi="Times" w:cs="Times"/>
        </w:rPr>
      </w:pPr>
      <w:r w:rsidRPr="00D05E94">
        <w:rPr>
          <w:rFonts w:ascii="Times" w:hAnsi="Times" w:cs="Times"/>
        </w:rPr>
        <w:t xml:space="preserve">If possible, these data should be divided by year and by the </w:t>
      </w:r>
      <w:r>
        <w:rPr>
          <w:rFonts w:ascii="Times" w:hAnsi="Times" w:cs="Times"/>
        </w:rPr>
        <w:t xml:space="preserve">positions </w:t>
      </w:r>
      <w:r w:rsidRPr="00D05E94">
        <w:rPr>
          <w:rFonts w:ascii="Times" w:hAnsi="Times" w:cs="Times"/>
        </w:rPr>
        <w:t>of the</w:t>
      </w:r>
    </w:p>
    <w:p w14:paraId="4ECB5616" w14:textId="77777777" w:rsidR="00E00F6A" w:rsidRPr="00D05E94" w:rsidRDefault="00E00F6A" w:rsidP="00E00F6A">
      <w:pPr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assessee</w:t>
      </w:r>
      <w:proofErr w:type="spellEnd"/>
      <w:r w:rsidRPr="00D05E94">
        <w:rPr>
          <w:rFonts w:ascii="Times" w:hAnsi="Times" w:cs="Times"/>
        </w:rPr>
        <w:t xml:space="preserve"> (judges, prosecutors, legal assistants, etc..</w:t>
      </w:r>
      <w:r>
        <w:rPr>
          <w:rFonts w:ascii="Times" w:hAnsi="Times" w:cs="Times"/>
        </w:rPr>
        <w:t>).</w:t>
      </w:r>
    </w:p>
    <w:p w14:paraId="7D2EE0DB" w14:textId="77777777" w:rsidR="00E00F6A" w:rsidRDefault="00E00F6A"/>
    <w:sectPr w:rsidR="00E0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6A"/>
    <w:rsid w:val="006A1CEC"/>
    <w:rsid w:val="00E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81D9"/>
  <w15:chartTrackingRefBased/>
  <w15:docId w15:val="{E219FE3E-D1F9-45AA-B4CA-79081E88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6A"/>
  </w:style>
  <w:style w:type="paragraph" w:styleId="Heading1">
    <w:name w:val="heading 1"/>
    <w:basedOn w:val="Normal"/>
    <w:next w:val="Normal"/>
    <w:link w:val="Heading1Char"/>
    <w:uiPriority w:val="9"/>
    <w:qFormat/>
    <w:rsid w:val="00E00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2025-09-09T07:38:00Z</dcterms:created>
  <dcterms:modified xsi:type="dcterms:W3CDTF">2025-09-09T07:39:00Z</dcterms:modified>
</cp:coreProperties>
</file>