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F1C3" w14:textId="77777777" w:rsidR="0085319F" w:rsidRDefault="0085319F" w:rsidP="0085319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19.03.2026  </w:t>
      </w:r>
    </w:p>
    <w:p w14:paraId="53BF95A3" w14:textId="77777777" w:rsidR="0085319F" w:rsidRPr="00EC233C" w:rsidRDefault="0085319F" w:rsidP="0085319F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</w:pPr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As you are aware, the Special Appeals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Chamber</w:t>
      </w:r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reviews the appeals of the Public Commissioner and the </w:t>
      </w:r>
      <w:proofErr w:type="spellStart"/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assessees</w:t>
      </w:r>
      <w:proofErr w:type="spellEnd"/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filed </w:t>
      </w:r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against the decisions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rendered by</w:t>
      </w:r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the Independent Qualification Commission, based on the Constitution, the Annex to the Constitution and Law 84/2016 “On the transitional re-evaluation of judges and prosecutors in the Republic of Albania”.</w:t>
      </w:r>
    </w:p>
    <w:p w14:paraId="77DC7936" w14:textId="77777777" w:rsidR="0085319F" w:rsidRPr="00EC233C" w:rsidRDefault="0085319F" w:rsidP="0085319F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Pursuant to</w:t>
      </w:r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Article Ç/1 of the Annex to the Constitution, the re-evaluation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consists of</w:t>
      </w:r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the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assessment</w:t>
      </w:r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of assets,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background/integrity</w:t>
      </w:r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and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proficiency</w:t>
      </w:r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, according to Articles D, DH and E of this Annex and Law 84/2016.</w:t>
      </w:r>
    </w:p>
    <w:p w14:paraId="6022F524" w14:textId="77777777" w:rsidR="0085319F" w:rsidRDefault="0085319F" w:rsidP="0085319F">
      <w:pPr>
        <w:shd w:val="clear" w:color="auto" w:fill="FFFFFF"/>
        <w:spacing w:line="21" w:lineRule="atLeast"/>
        <w:jc w:val="both"/>
        <w:textAlignment w:val="baseline"/>
        <w:rPr>
          <w:rFonts w:ascii="Times New Roman" w:eastAsia="Times" w:hAnsi="Times New Roman" w:cs="Times New Roman"/>
          <w:color w:val="000000"/>
        </w:rPr>
      </w:pPr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We inform you that the </w:t>
      </w:r>
      <w:r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>Appeal Chamber</w:t>
      </w:r>
      <w:r w:rsidRPr="00EC233C">
        <w:rPr>
          <w:rFonts w:ascii="Times New Roman" w:eastAsia="Times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does not hold positions and does not make interpretations beyond those in the reasoned decisions, which you can find published in the following link:</w:t>
      </w:r>
    </w:p>
    <w:p w14:paraId="798B2070" w14:textId="658CFAD9" w:rsidR="00CB5637" w:rsidRPr="0085319F" w:rsidRDefault="0085319F" w:rsidP="0085319F">
      <w:pPr>
        <w:jc w:val="both"/>
        <w:rPr>
          <w:rFonts w:ascii="Times New Roman" w:eastAsia="Times" w:hAnsi="Times New Roman" w:cs="Times New Roman"/>
          <w:color w:val="0563C1"/>
          <w:kern w:val="0"/>
          <w:u w:val="single"/>
          <w:shd w:val="clear" w:color="auto" w:fill="FFFFFF"/>
          <w:lang w:eastAsia="zh-CN" w:bidi="ar"/>
        </w:rPr>
      </w:pPr>
      <w:hyperlink r:id="rId4" w:tgtFrame="https://outlook.cloud.microsoft/mail/id/_blank" w:tooltip="https://kpa.al/juridiksion-rivleresimi-vendime" w:history="1">
        <w:r>
          <w:rPr>
            <w:rStyle w:val="Hyperlink"/>
            <w:rFonts w:ascii="Times New Roman" w:eastAsia="Times" w:hAnsi="Times New Roman" w:cs="Times New Roman"/>
            <w:color w:val="0563C1"/>
            <w:shd w:val="clear" w:color="auto" w:fill="FFFFFF"/>
          </w:rPr>
          <w:t>https://kpa.al/juridiksion-rivleresimi-vendime</w:t>
        </w:r>
      </w:hyperlink>
    </w:p>
    <w:sectPr w:rsidR="00CB5637" w:rsidRPr="00853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0A4"/>
    <w:rsid w:val="002262C6"/>
    <w:rsid w:val="003B193C"/>
    <w:rsid w:val="005A03BB"/>
    <w:rsid w:val="0085319F"/>
    <w:rsid w:val="00CB5637"/>
    <w:rsid w:val="00D570A4"/>
    <w:rsid w:val="00FB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D85B"/>
  <w15:chartTrackingRefBased/>
  <w15:docId w15:val="{FC89E8CD-6B41-4B99-820C-729D4EA1D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9F"/>
  </w:style>
  <w:style w:type="paragraph" w:styleId="Heading1">
    <w:name w:val="heading 1"/>
    <w:basedOn w:val="Normal"/>
    <w:next w:val="Normal"/>
    <w:link w:val="Heading1Char"/>
    <w:uiPriority w:val="9"/>
    <w:qFormat/>
    <w:rsid w:val="00D57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0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0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0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0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0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0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0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0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0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0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0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0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0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0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0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0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0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qFormat/>
    <w:rsid w:val="008531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pa.al/juridiksion-rivleresimi-vend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2026-04-24T11:06:00Z</dcterms:created>
  <dcterms:modified xsi:type="dcterms:W3CDTF">2026-04-24T11:06:00Z</dcterms:modified>
</cp:coreProperties>
</file>